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97299" w14:textId="77777777" w:rsidR="00A37036" w:rsidRPr="00FD186A" w:rsidRDefault="00A37036" w:rsidP="00FD186A">
      <w:pPr>
        <w:spacing w:after="0" w:line="480" w:lineRule="auto"/>
        <w:jc w:val="center"/>
        <w:rPr>
          <w:rFonts w:ascii="Times New Roman" w:hAnsi="Times New Roman" w:cs="Times New Roman"/>
          <w:sz w:val="24"/>
          <w:szCs w:val="24"/>
        </w:rPr>
      </w:pPr>
    </w:p>
    <w:p w14:paraId="175E59CF" w14:textId="77777777" w:rsidR="00A37036" w:rsidRPr="00FD186A" w:rsidRDefault="00A37036" w:rsidP="00FD186A">
      <w:pPr>
        <w:spacing w:after="0" w:line="480" w:lineRule="auto"/>
        <w:jc w:val="center"/>
        <w:rPr>
          <w:rFonts w:ascii="Times New Roman" w:hAnsi="Times New Roman" w:cs="Times New Roman"/>
          <w:sz w:val="24"/>
          <w:szCs w:val="24"/>
        </w:rPr>
      </w:pPr>
    </w:p>
    <w:p w14:paraId="19A8285A" w14:textId="77777777" w:rsidR="00A37036" w:rsidRPr="00FD186A" w:rsidRDefault="00A37036" w:rsidP="00FD186A">
      <w:pPr>
        <w:spacing w:after="0" w:line="480" w:lineRule="auto"/>
        <w:jc w:val="center"/>
        <w:rPr>
          <w:rFonts w:ascii="Times New Roman" w:hAnsi="Times New Roman" w:cs="Times New Roman"/>
          <w:sz w:val="24"/>
          <w:szCs w:val="24"/>
        </w:rPr>
      </w:pPr>
    </w:p>
    <w:p w14:paraId="6320C97A" w14:textId="77777777" w:rsidR="00A37036" w:rsidRPr="00FD186A" w:rsidRDefault="00A37036" w:rsidP="00FD186A">
      <w:pPr>
        <w:spacing w:after="0" w:line="480" w:lineRule="auto"/>
        <w:jc w:val="center"/>
        <w:rPr>
          <w:rFonts w:ascii="Times New Roman" w:hAnsi="Times New Roman" w:cs="Times New Roman"/>
          <w:sz w:val="24"/>
          <w:szCs w:val="24"/>
        </w:rPr>
      </w:pPr>
    </w:p>
    <w:p w14:paraId="7BDE43C7" w14:textId="77777777" w:rsidR="00A37036" w:rsidRPr="00FD186A" w:rsidRDefault="00A37036" w:rsidP="00FD186A">
      <w:pPr>
        <w:spacing w:after="0" w:line="480" w:lineRule="auto"/>
        <w:jc w:val="center"/>
        <w:rPr>
          <w:rFonts w:ascii="Times New Roman" w:hAnsi="Times New Roman" w:cs="Times New Roman"/>
          <w:sz w:val="24"/>
          <w:szCs w:val="24"/>
        </w:rPr>
      </w:pPr>
    </w:p>
    <w:p w14:paraId="18DB302B" w14:textId="77777777" w:rsidR="00A37036" w:rsidRPr="00FD186A" w:rsidRDefault="00A37036" w:rsidP="00FD186A">
      <w:pPr>
        <w:spacing w:after="0" w:line="480" w:lineRule="auto"/>
        <w:jc w:val="center"/>
        <w:rPr>
          <w:rFonts w:ascii="Times New Roman" w:hAnsi="Times New Roman" w:cs="Times New Roman"/>
          <w:sz w:val="24"/>
          <w:szCs w:val="24"/>
        </w:rPr>
      </w:pPr>
    </w:p>
    <w:p w14:paraId="2BD3934D" w14:textId="77777777" w:rsidR="00A37036" w:rsidRPr="00FD186A" w:rsidRDefault="00A37036" w:rsidP="00FD186A">
      <w:pPr>
        <w:spacing w:after="0" w:line="480" w:lineRule="auto"/>
        <w:jc w:val="center"/>
        <w:rPr>
          <w:rFonts w:ascii="Times New Roman" w:hAnsi="Times New Roman" w:cs="Times New Roman"/>
          <w:sz w:val="24"/>
          <w:szCs w:val="24"/>
        </w:rPr>
      </w:pPr>
    </w:p>
    <w:p w14:paraId="6EC6B4DB" w14:textId="77777777" w:rsidR="00A37036" w:rsidRPr="00FD186A" w:rsidRDefault="00A37036" w:rsidP="00FD186A">
      <w:pPr>
        <w:spacing w:after="0" w:line="480" w:lineRule="auto"/>
        <w:jc w:val="center"/>
        <w:rPr>
          <w:rFonts w:ascii="Times New Roman" w:hAnsi="Times New Roman" w:cs="Times New Roman"/>
          <w:sz w:val="24"/>
          <w:szCs w:val="24"/>
        </w:rPr>
      </w:pPr>
    </w:p>
    <w:p w14:paraId="58152520" w14:textId="3E3C15AB" w:rsidR="00E004E2" w:rsidRPr="00FD186A" w:rsidRDefault="00C9067E" w:rsidP="00FD186A">
      <w:pPr>
        <w:spacing w:after="0" w:line="480" w:lineRule="auto"/>
        <w:jc w:val="center"/>
        <w:rPr>
          <w:rFonts w:ascii="Times New Roman" w:hAnsi="Times New Roman" w:cs="Times New Roman"/>
          <w:sz w:val="24"/>
          <w:szCs w:val="24"/>
        </w:rPr>
      </w:pPr>
      <w:r w:rsidRPr="00FD186A">
        <w:rPr>
          <w:rFonts w:ascii="Times New Roman" w:hAnsi="Times New Roman" w:cs="Times New Roman"/>
          <w:sz w:val="24"/>
          <w:szCs w:val="24"/>
        </w:rPr>
        <w:t>Dendrochronology Technique</w:t>
      </w:r>
    </w:p>
    <w:p w14:paraId="3E3E284C" w14:textId="77777777" w:rsidR="00A37036" w:rsidRPr="00FD186A" w:rsidRDefault="00A37036" w:rsidP="00FD186A">
      <w:pPr>
        <w:spacing w:after="0" w:line="480" w:lineRule="auto"/>
        <w:jc w:val="center"/>
        <w:rPr>
          <w:rFonts w:ascii="Times New Roman" w:hAnsi="Times New Roman" w:cs="Times New Roman"/>
          <w:sz w:val="24"/>
          <w:szCs w:val="24"/>
        </w:rPr>
      </w:pPr>
      <w:r w:rsidRPr="00FD186A">
        <w:rPr>
          <w:rFonts w:ascii="Times New Roman" w:hAnsi="Times New Roman" w:cs="Times New Roman"/>
          <w:sz w:val="24"/>
          <w:szCs w:val="24"/>
        </w:rPr>
        <w:t>Name</w:t>
      </w:r>
    </w:p>
    <w:p w14:paraId="719CC61F" w14:textId="77777777" w:rsidR="00A37036" w:rsidRPr="00FD186A" w:rsidRDefault="00A37036" w:rsidP="00FD186A">
      <w:pPr>
        <w:spacing w:after="0" w:line="480" w:lineRule="auto"/>
        <w:jc w:val="center"/>
        <w:rPr>
          <w:rFonts w:ascii="Times New Roman" w:hAnsi="Times New Roman" w:cs="Times New Roman"/>
          <w:sz w:val="24"/>
          <w:szCs w:val="24"/>
        </w:rPr>
      </w:pPr>
      <w:r w:rsidRPr="00FD186A">
        <w:rPr>
          <w:rFonts w:ascii="Times New Roman" w:hAnsi="Times New Roman" w:cs="Times New Roman"/>
          <w:sz w:val="24"/>
          <w:szCs w:val="24"/>
        </w:rPr>
        <w:t>Institutional Affiliation</w:t>
      </w:r>
    </w:p>
    <w:p w14:paraId="573A55EA" w14:textId="77777777" w:rsidR="00A617C2" w:rsidRDefault="00A617C2" w:rsidP="00FD18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E1E307" w14:textId="033D06CB" w:rsidR="00A37036" w:rsidRPr="00FD186A" w:rsidRDefault="00A37036" w:rsidP="00FD186A">
      <w:pPr>
        <w:spacing w:after="0" w:line="480" w:lineRule="auto"/>
        <w:jc w:val="center"/>
        <w:rPr>
          <w:rFonts w:ascii="Times New Roman" w:hAnsi="Times New Roman" w:cs="Times New Roman"/>
          <w:sz w:val="24"/>
          <w:szCs w:val="24"/>
        </w:rPr>
      </w:pPr>
      <w:r w:rsidRPr="00FD186A">
        <w:rPr>
          <w:rFonts w:ascii="Times New Roman" w:hAnsi="Times New Roman" w:cs="Times New Roman"/>
          <w:sz w:val="24"/>
          <w:szCs w:val="24"/>
        </w:rPr>
        <w:lastRenderedPageBreak/>
        <w:t>Dendrochronology Technique</w:t>
      </w:r>
    </w:p>
    <w:p w14:paraId="2FCF76DC" w14:textId="37452E87" w:rsidR="00AE7E25" w:rsidRPr="00FD186A" w:rsidRDefault="00234008" w:rsidP="00FD186A">
      <w:pPr>
        <w:spacing w:after="0" w:line="480" w:lineRule="auto"/>
        <w:ind w:firstLine="720"/>
        <w:rPr>
          <w:rFonts w:ascii="Times New Roman" w:hAnsi="Times New Roman" w:cs="Times New Roman"/>
          <w:sz w:val="24"/>
          <w:szCs w:val="24"/>
        </w:rPr>
      </w:pPr>
      <w:r w:rsidRPr="00FD186A">
        <w:rPr>
          <w:rFonts w:ascii="Times New Roman" w:hAnsi="Times New Roman" w:cs="Times New Roman"/>
          <w:sz w:val="24"/>
          <w:szCs w:val="24"/>
        </w:rPr>
        <w:t>It is important to understand th</w:t>
      </w:r>
      <w:bookmarkStart w:id="0" w:name="_GoBack"/>
      <w:bookmarkEnd w:id="0"/>
      <w:r w:rsidRPr="00FD186A">
        <w:rPr>
          <w:rFonts w:ascii="Times New Roman" w:hAnsi="Times New Roman" w:cs="Times New Roman"/>
          <w:sz w:val="24"/>
          <w:szCs w:val="24"/>
        </w:rPr>
        <w:t xml:space="preserve">at annual rings in trees indicate climatic variation because of changes in the amount as well as carbon allocation pattern to stem increment. </w:t>
      </w:r>
      <w:r w:rsidR="005004DE" w:rsidRPr="00FD186A">
        <w:rPr>
          <w:rFonts w:ascii="Times New Roman" w:hAnsi="Times New Roman" w:cs="Times New Roman"/>
          <w:sz w:val="24"/>
          <w:szCs w:val="24"/>
        </w:rPr>
        <w:t xml:space="preserve">In fact, tree-ring information should be subjected to considerable scrutiny in both analysis as well as collection. Dendrochronology technique is successful when ideal trees for evaluation grow in exposed situations where they do not have competition with other trees. In particular, this demonstrates a direct growth response to climatic variation. </w:t>
      </w:r>
      <w:r w:rsidR="00086B5E" w:rsidRPr="00FD186A">
        <w:rPr>
          <w:rFonts w:ascii="Times New Roman" w:hAnsi="Times New Roman" w:cs="Times New Roman"/>
          <w:sz w:val="24"/>
          <w:szCs w:val="24"/>
        </w:rPr>
        <w:t xml:space="preserve">It is noteworthy that </w:t>
      </w:r>
      <w:r w:rsidR="00E30E2B">
        <w:rPr>
          <w:rFonts w:ascii="Times New Roman" w:hAnsi="Times New Roman" w:cs="Times New Roman"/>
          <w:sz w:val="24"/>
          <w:szCs w:val="24"/>
        </w:rPr>
        <w:t xml:space="preserve">examination of </w:t>
      </w:r>
      <w:r w:rsidR="00086B5E" w:rsidRPr="00FD186A">
        <w:rPr>
          <w:rFonts w:ascii="Times New Roman" w:hAnsi="Times New Roman" w:cs="Times New Roman"/>
          <w:sz w:val="24"/>
          <w:szCs w:val="24"/>
        </w:rPr>
        <w:t xml:space="preserve">growth features of wood makes possible the technique of dendrochronology. </w:t>
      </w:r>
      <w:r w:rsidR="00F23122" w:rsidRPr="00FD186A">
        <w:rPr>
          <w:rFonts w:ascii="Times New Roman" w:hAnsi="Times New Roman" w:cs="Times New Roman"/>
          <w:sz w:val="24"/>
          <w:szCs w:val="24"/>
        </w:rPr>
        <w:t xml:space="preserve">Specifically, various growth rates of trees contribute to tree rings. The rings grow slowly in the winter, and they are considered annual tree rings. </w:t>
      </w:r>
      <w:r w:rsidR="005D6CA1" w:rsidRPr="00FD186A">
        <w:rPr>
          <w:rFonts w:ascii="Times New Roman" w:hAnsi="Times New Roman" w:cs="Times New Roman"/>
          <w:sz w:val="24"/>
          <w:szCs w:val="24"/>
        </w:rPr>
        <w:t>On the same note, they grow less due to climate conditions as well as other vital factors. Therefore, it is a useful way to develop past climates that are beneficial to growing.</w:t>
      </w:r>
    </w:p>
    <w:p w14:paraId="450F9E61" w14:textId="32C0B996" w:rsidR="00234008" w:rsidRPr="00FD186A" w:rsidRDefault="00AE7E25" w:rsidP="0074570D">
      <w:pPr>
        <w:spacing w:after="0" w:line="480" w:lineRule="auto"/>
        <w:ind w:firstLine="720"/>
        <w:rPr>
          <w:rFonts w:ascii="Times New Roman" w:hAnsi="Times New Roman" w:cs="Times New Roman"/>
          <w:sz w:val="24"/>
          <w:szCs w:val="24"/>
        </w:rPr>
      </w:pPr>
      <w:r w:rsidRPr="00FD186A">
        <w:rPr>
          <w:rFonts w:ascii="Times New Roman" w:hAnsi="Times New Roman" w:cs="Times New Roman"/>
          <w:sz w:val="24"/>
          <w:szCs w:val="24"/>
        </w:rPr>
        <w:t xml:space="preserve">In addition, it is evident that trees’ external rings match with internal translucent growth bands established at high mineralization event times as well as high water temperature. For example, narrow growth rings in the Reclutas Bed in early winter or late autumn in case somatic growth stops and gonad growth starts. Specifically, this is experienced during the times of low primary productivity as well as high sea-bottom temperatures. Notably, this follows stratification breakdown of the water column. It is prudent to note that trees in temperate zones generate one growth ring annually that is accompanied with the newest adjacent to the bark. On the other hand, poor climatic conditions as well as favorable conditions including mid-summer droughts can contribute to the growth of numerous rings that form in a particular year. </w:t>
      </w:r>
      <w:r w:rsidR="00A34EB1" w:rsidRPr="00FD186A">
        <w:rPr>
          <w:rFonts w:ascii="Times New Roman" w:hAnsi="Times New Roman" w:cs="Times New Roman"/>
          <w:sz w:val="24"/>
          <w:szCs w:val="24"/>
        </w:rPr>
        <w:t xml:space="preserve">In simple terms, the examination of growth features of wood </w:t>
      </w:r>
      <w:r w:rsidR="00282C83" w:rsidRPr="00FD186A">
        <w:rPr>
          <w:rFonts w:ascii="Times New Roman" w:hAnsi="Times New Roman" w:cs="Times New Roman"/>
          <w:sz w:val="24"/>
          <w:szCs w:val="24"/>
        </w:rPr>
        <w:t>makes</w:t>
      </w:r>
      <w:r w:rsidR="00A34EB1" w:rsidRPr="00FD186A">
        <w:rPr>
          <w:rFonts w:ascii="Times New Roman" w:hAnsi="Times New Roman" w:cs="Times New Roman"/>
          <w:sz w:val="24"/>
          <w:szCs w:val="24"/>
        </w:rPr>
        <w:t xml:space="preserve"> possible the dendrochronology technique.</w:t>
      </w:r>
      <w:r w:rsidR="002B1052" w:rsidRPr="00FD186A">
        <w:rPr>
          <w:rFonts w:ascii="Times New Roman" w:hAnsi="Times New Roman" w:cs="Times New Roman"/>
          <w:sz w:val="24"/>
          <w:szCs w:val="24"/>
        </w:rPr>
        <w:t xml:space="preserve"> </w:t>
      </w:r>
      <w:r w:rsidR="00A353FA" w:rsidRPr="00FD186A">
        <w:rPr>
          <w:rFonts w:ascii="Times New Roman" w:hAnsi="Times New Roman" w:cs="Times New Roman"/>
          <w:sz w:val="24"/>
          <w:szCs w:val="24"/>
        </w:rPr>
        <w:t xml:space="preserve">Precisely, assessment of growth characteristics </w:t>
      </w:r>
      <w:r w:rsidR="00282C83" w:rsidRPr="00FD186A">
        <w:rPr>
          <w:rFonts w:ascii="Times New Roman" w:hAnsi="Times New Roman" w:cs="Times New Roman"/>
          <w:sz w:val="24"/>
          <w:szCs w:val="24"/>
        </w:rPr>
        <w:t>provides</w:t>
      </w:r>
      <w:r w:rsidR="00A353FA" w:rsidRPr="00FD186A">
        <w:rPr>
          <w:rFonts w:ascii="Times New Roman" w:hAnsi="Times New Roman" w:cs="Times New Roman"/>
          <w:sz w:val="24"/>
          <w:szCs w:val="24"/>
        </w:rPr>
        <w:t xml:space="preserve"> various aspects relating to climatic conditions as well as the ring width patterns for a particular time of chronological research. </w:t>
      </w:r>
      <w:r w:rsidR="00927C2A">
        <w:rPr>
          <w:rFonts w:ascii="Times New Roman" w:hAnsi="Times New Roman" w:cs="Times New Roman"/>
          <w:sz w:val="24"/>
          <w:szCs w:val="24"/>
        </w:rPr>
        <w:t>Which makes it possible to practice dendrochronology.</w:t>
      </w:r>
      <w:r w:rsidR="00A34EB1" w:rsidRPr="00FD186A">
        <w:rPr>
          <w:rFonts w:ascii="Times New Roman" w:hAnsi="Times New Roman" w:cs="Times New Roman"/>
          <w:sz w:val="24"/>
          <w:szCs w:val="24"/>
        </w:rPr>
        <w:t xml:space="preserve"> </w:t>
      </w:r>
      <w:r w:rsidR="005D6CA1" w:rsidRPr="00FD186A">
        <w:rPr>
          <w:rFonts w:ascii="Times New Roman" w:hAnsi="Times New Roman" w:cs="Times New Roman"/>
          <w:sz w:val="24"/>
          <w:szCs w:val="24"/>
        </w:rPr>
        <w:t xml:space="preserve"> </w:t>
      </w:r>
    </w:p>
    <w:sectPr w:rsidR="00234008" w:rsidRPr="00FD186A" w:rsidSect="008A6171">
      <w:headerReference w:type="default" r:id="rId6"/>
      <w:headerReference w:type="first" r:id="rId7"/>
      <w:pgSz w:w="12240" w:h="15840"/>
      <w:pgMar w:top="1440" w:right="144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09F9A" w14:textId="77777777" w:rsidR="00D20229" w:rsidRDefault="00D20229" w:rsidP="00A37036">
      <w:pPr>
        <w:spacing w:after="0" w:line="240" w:lineRule="auto"/>
      </w:pPr>
      <w:r>
        <w:separator/>
      </w:r>
    </w:p>
  </w:endnote>
  <w:endnote w:type="continuationSeparator" w:id="0">
    <w:p w14:paraId="0F546128" w14:textId="77777777" w:rsidR="00D20229" w:rsidRDefault="00D20229" w:rsidP="00A37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6CA54" w14:textId="77777777" w:rsidR="00D20229" w:rsidRDefault="00D20229" w:rsidP="00A37036">
      <w:pPr>
        <w:spacing w:after="0" w:line="240" w:lineRule="auto"/>
      </w:pPr>
      <w:r>
        <w:separator/>
      </w:r>
    </w:p>
  </w:footnote>
  <w:footnote w:type="continuationSeparator" w:id="0">
    <w:p w14:paraId="40874593" w14:textId="77777777" w:rsidR="00D20229" w:rsidRDefault="00D20229" w:rsidP="00A37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2DBD0" w14:textId="77777777" w:rsidR="00A37036" w:rsidRPr="003936A4" w:rsidRDefault="00A37036" w:rsidP="00A37036">
    <w:pPr>
      <w:pStyle w:val="Header"/>
      <w:rPr>
        <w:rFonts w:ascii="Times New Roman" w:hAnsi="Times New Roman" w:cs="Times New Roman"/>
      </w:rPr>
    </w:pPr>
    <w:r w:rsidRPr="003936A4">
      <w:rPr>
        <w:rFonts w:ascii="Times New Roman" w:hAnsi="Times New Roman" w:cs="Times New Roman"/>
      </w:rPr>
      <w:t xml:space="preserve">DENDROCHRONOLOGY TECHNIQUE </w:t>
    </w:r>
    <w:sdt>
      <w:sdtPr>
        <w:rPr>
          <w:rFonts w:ascii="Times New Roman" w:hAnsi="Times New Roman" w:cs="Times New Roman"/>
        </w:rPr>
        <w:id w:val="-1507046159"/>
        <w:docPartObj>
          <w:docPartGallery w:val="Page Numbers (Top of Page)"/>
          <w:docPartUnique/>
        </w:docPartObj>
      </w:sdtPr>
      <w:sdtEndPr>
        <w:rPr>
          <w:noProof/>
        </w:rPr>
      </w:sdtEndPr>
      <w:sdtContent>
        <w:r w:rsidRPr="003936A4">
          <w:rPr>
            <w:rFonts w:ascii="Times New Roman" w:hAnsi="Times New Roman" w:cs="Times New Roman"/>
          </w:rPr>
          <w:tab/>
        </w:r>
        <w:r w:rsidRPr="003936A4">
          <w:rPr>
            <w:rFonts w:ascii="Times New Roman" w:hAnsi="Times New Roman" w:cs="Times New Roman"/>
          </w:rPr>
          <w:tab/>
        </w:r>
        <w:r w:rsidRPr="003936A4">
          <w:rPr>
            <w:rFonts w:ascii="Times New Roman" w:hAnsi="Times New Roman" w:cs="Times New Roman"/>
          </w:rPr>
          <w:fldChar w:fldCharType="begin"/>
        </w:r>
        <w:r w:rsidRPr="003936A4">
          <w:rPr>
            <w:rFonts w:ascii="Times New Roman" w:hAnsi="Times New Roman" w:cs="Times New Roman"/>
          </w:rPr>
          <w:instrText xml:space="preserve"> PAGE   \* MERGEFORMAT </w:instrText>
        </w:r>
        <w:r w:rsidRPr="003936A4">
          <w:rPr>
            <w:rFonts w:ascii="Times New Roman" w:hAnsi="Times New Roman" w:cs="Times New Roman"/>
          </w:rPr>
          <w:fldChar w:fldCharType="separate"/>
        </w:r>
        <w:r w:rsidR="0074570D" w:rsidRPr="003936A4">
          <w:rPr>
            <w:rFonts w:ascii="Times New Roman" w:hAnsi="Times New Roman" w:cs="Times New Roman"/>
            <w:noProof/>
          </w:rPr>
          <w:t>2</w:t>
        </w:r>
        <w:r w:rsidRPr="003936A4">
          <w:rPr>
            <w:rFonts w:ascii="Times New Roman" w:hAnsi="Times New Roman" w:cs="Times New Roman"/>
            <w:noProof/>
          </w:rPr>
          <w:fldChar w:fldCharType="end"/>
        </w:r>
      </w:sdtContent>
    </w:sdt>
  </w:p>
  <w:p w14:paraId="7F779DFD" w14:textId="77777777" w:rsidR="00A37036" w:rsidRDefault="00A37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60EE7" w14:textId="77777777" w:rsidR="00A37036" w:rsidRPr="003936A4" w:rsidRDefault="00A37036" w:rsidP="00A37036">
    <w:pPr>
      <w:pStyle w:val="Header"/>
      <w:rPr>
        <w:rFonts w:ascii="Times New Roman" w:hAnsi="Times New Roman" w:cs="Times New Roman"/>
      </w:rPr>
    </w:pPr>
    <w:r w:rsidRPr="003936A4">
      <w:rPr>
        <w:rFonts w:ascii="Times New Roman" w:hAnsi="Times New Roman" w:cs="Times New Roman"/>
      </w:rPr>
      <w:t xml:space="preserve">Running head: DENDROCHRONOLOGY TECHNIQUE </w:t>
    </w:r>
    <w:sdt>
      <w:sdtPr>
        <w:rPr>
          <w:rFonts w:ascii="Times New Roman" w:hAnsi="Times New Roman" w:cs="Times New Roman"/>
        </w:rPr>
        <w:id w:val="-1248883318"/>
        <w:docPartObj>
          <w:docPartGallery w:val="Page Numbers (Top of Page)"/>
          <w:docPartUnique/>
        </w:docPartObj>
      </w:sdtPr>
      <w:sdtEndPr>
        <w:rPr>
          <w:noProof/>
        </w:rPr>
      </w:sdtEndPr>
      <w:sdtContent>
        <w:r w:rsidRPr="003936A4">
          <w:rPr>
            <w:rFonts w:ascii="Times New Roman" w:hAnsi="Times New Roman" w:cs="Times New Roman"/>
          </w:rPr>
          <w:tab/>
        </w:r>
        <w:r w:rsidRPr="003936A4">
          <w:rPr>
            <w:rFonts w:ascii="Times New Roman" w:hAnsi="Times New Roman" w:cs="Times New Roman"/>
          </w:rPr>
          <w:fldChar w:fldCharType="begin"/>
        </w:r>
        <w:r w:rsidRPr="003936A4">
          <w:rPr>
            <w:rFonts w:ascii="Times New Roman" w:hAnsi="Times New Roman" w:cs="Times New Roman"/>
          </w:rPr>
          <w:instrText xml:space="preserve"> PAGE   \* MERGEFORMAT </w:instrText>
        </w:r>
        <w:r w:rsidRPr="003936A4">
          <w:rPr>
            <w:rFonts w:ascii="Times New Roman" w:hAnsi="Times New Roman" w:cs="Times New Roman"/>
          </w:rPr>
          <w:fldChar w:fldCharType="separate"/>
        </w:r>
        <w:r w:rsidR="0074570D" w:rsidRPr="003936A4">
          <w:rPr>
            <w:rFonts w:ascii="Times New Roman" w:hAnsi="Times New Roman" w:cs="Times New Roman"/>
            <w:noProof/>
          </w:rPr>
          <w:t>1</w:t>
        </w:r>
        <w:r w:rsidRPr="003936A4">
          <w:rPr>
            <w:rFonts w:ascii="Times New Roman" w:hAnsi="Times New Roman" w:cs="Times New Roman"/>
            <w:noProof/>
          </w:rPr>
          <w:fldChar w:fldCharType="end"/>
        </w:r>
      </w:sdtContent>
    </w:sdt>
  </w:p>
  <w:p w14:paraId="0A867350" w14:textId="77777777" w:rsidR="00A37036" w:rsidRDefault="00A370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67E"/>
    <w:rsid w:val="0000594B"/>
    <w:rsid w:val="00086B5E"/>
    <w:rsid w:val="00234008"/>
    <w:rsid w:val="00282C83"/>
    <w:rsid w:val="002B1052"/>
    <w:rsid w:val="002F7973"/>
    <w:rsid w:val="003936A4"/>
    <w:rsid w:val="005004DE"/>
    <w:rsid w:val="005D6CA1"/>
    <w:rsid w:val="0074570D"/>
    <w:rsid w:val="007A7F0C"/>
    <w:rsid w:val="008A6171"/>
    <w:rsid w:val="00927C2A"/>
    <w:rsid w:val="00A34EB1"/>
    <w:rsid w:val="00A353FA"/>
    <w:rsid w:val="00A37036"/>
    <w:rsid w:val="00A617C2"/>
    <w:rsid w:val="00AE7E25"/>
    <w:rsid w:val="00C9067E"/>
    <w:rsid w:val="00D20229"/>
    <w:rsid w:val="00E004E2"/>
    <w:rsid w:val="00E30E2B"/>
    <w:rsid w:val="00E574DD"/>
    <w:rsid w:val="00F16C00"/>
    <w:rsid w:val="00F23122"/>
    <w:rsid w:val="00FB065F"/>
    <w:rsid w:val="00FD1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E1EE7"/>
  <w15:chartTrackingRefBased/>
  <w15:docId w15:val="{672C8D28-1FD6-47E8-B099-C6908B917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036"/>
  </w:style>
  <w:style w:type="paragraph" w:styleId="Footer">
    <w:name w:val="footer"/>
    <w:basedOn w:val="Normal"/>
    <w:link w:val="FooterChar"/>
    <w:uiPriority w:val="99"/>
    <w:unhideWhenUsed/>
    <w:rsid w:val="00A37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Antony Ouma</cp:lastModifiedBy>
  <cp:revision>36</cp:revision>
  <dcterms:created xsi:type="dcterms:W3CDTF">2018-09-04T05:18:00Z</dcterms:created>
  <dcterms:modified xsi:type="dcterms:W3CDTF">2018-09-04T07:24:00Z</dcterms:modified>
</cp:coreProperties>
</file>